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7FC" w:rsidRDefault="005473D8">
      <w:pPr>
        <w:pStyle w:val="normal0"/>
        <w:pBdr>
          <w:between w:val="nil"/>
        </w:pBdr>
        <w:spacing w:before="120"/>
        <w:ind w:left="510" w:right="680"/>
        <w:jc w:val="right"/>
        <w:rPr>
          <w:rFonts w:ascii="Arial" w:eastAsia="Arial" w:hAnsi="Arial" w:cs="Arial"/>
          <w:color w:val="000000"/>
        </w:rPr>
      </w:pPr>
      <w:r>
        <w:br w:type="page"/>
      </w:r>
    </w:p>
    <w:p w:rsidR="005B17FC" w:rsidRDefault="005473D8">
      <w:pPr>
        <w:pStyle w:val="normal0"/>
        <w:pBdr>
          <w:between w:val="nil"/>
        </w:pBdr>
        <w:spacing w:before="120"/>
        <w:ind w:left="510" w:right="680"/>
        <w:jc w:val="right"/>
        <w:rPr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>Málaga, 28 de abril de 2021</w:t>
      </w:r>
    </w:p>
    <w:p w:rsidR="005B17FC" w:rsidRDefault="005B17FC">
      <w:pPr>
        <w:pStyle w:val="normal0"/>
        <w:pBdr>
          <w:between w:val="nil"/>
        </w:pBdr>
        <w:spacing w:before="120"/>
        <w:ind w:left="510" w:right="680"/>
        <w:jc w:val="right"/>
        <w:rPr>
          <w:rFonts w:ascii="Arial" w:eastAsia="Arial" w:hAnsi="Arial" w:cs="Arial"/>
          <w:color w:val="000000"/>
          <w:sz w:val="38"/>
          <w:szCs w:val="38"/>
        </w:rPr>
      </w:pPr>
    </w:p>
    <w:p w:rsidR="005B17FC" w:rsidRDefault="005473D8">
      <w:pPr>
        <w:pStyle w:val="normal0"/>
        <w:pBdr>
          <w:between w:val="nil"/>
        </w:pBdr>
        <w:spacing w:before="120"/>
        <w:ind w:left="510" w:right="680"/>
        <w:jc w:val="both"/>
        <w:rPr>
          <w:rFonts w:ascii="Arial" w:eastAsia="Arial" w:hAnsi="Arial" w:cs="Arial"/>
          <w:color w:val="000000"/>
          <w:sz w:val="38"/>
          <w:szCs w:val="38"/>
        </w:rPr>
      </w:pPr>
      <w:r>
        <w:rPr>
          <w:rFonts w:ascii="Arial" w:eastAsia="Arial" w:hAnsi="Arial" w:cs="Arial"/>
          <w:b/>
          <w:color w:val="000000"/>
          <w:sz w:val="38"/>
          <w:szCs w:val="38"/>
        </w:rPr>
        <w:t>Educación presenta el Plan de Infraestructuras 2021 en Málaga, que incluye 48 actuaciones por un valor de 54,3 millones de euros</w:t>
      </w:r>
    </w:p>
    <w:p w:rsidR="005B17FC" w:rsidRDefault="005B17FC">
      <w:pPr>
        <w:pStyle w:val="normal0"/>
        <w:pBdr>
          <w:between w:val="nil"/>
        </w:pBdr>
        <w:spacing w:before="120"/>
        <w:ind w:left="510" w:right="680"/>
        <w:rPr>
          <w:rFonts w:ascii="Arial" w:eastAsia="Arial" w:hAnsi="Arial" w:cs="Arial"/>
          <w:color w:val="000000"/>
          <w:sz w:val="38"/>
          <w:szCs w:val="38"/>
        </w:rPr>
      </w:pPr>
    </w:p>
    <w:p w:rsidR="005B17FC" w:rsidRDefault="005473D8">
      <w:pPr>
        <w:pStyle w:val="normal0"/>
        <w:pBdr>
          <w:between w:val="nil"/>
        </w:pBdr>
        <w:spacing w:before="120"/>
        <w:ind w:left="510" w:right="680"/>
        <w:jc w:val="both"/>
        <w:rPr>
          <w:color w:val="000000"/>
        </w:rPr>
      </w:pPr>
      <w:r>
        <w:rPr>
          <w:rFonts w:ascii="Arial" w:eastAsia="Arial" w:hAnsi="Arial" w:cs="Arial"/>
          <w:color w:val="000000"/>
          <w:sz w:val="28"/>
          <w:szCs w:val="28"/>
        </w:rPr>
        <w:t xml:space="preserve">Mercedes García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Paine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 xml:space="preserve"> presenta el Plan de Infraestructuras Educativas 2021, que impulsará el uso de la </w:t>
      </w:r>
      <w:proofErr w:type="spellStart"/>
      <w:r>
        <w:rPr>
          <w:rFonts w:ascii="Arial" w:eastAsia="Arial" w:hAnsi="Arial" w:cs="Arial"/>
          <w:color w:val="000000"/>
          <w:sz w:val="28"/>
          <w:szCs w:val="28"/>
        </w:rPr>
        <w:t>bioclimatización</w:t>
      </w:r>
      <w:proofErr w:type="spellEnd"/>
      <w:r>
        <w:rPr>
          <w:rFonts w:ascii="Arial" w:eastAsia="Arial" w:hAnsi="Arial" w:cs="Arial"/>
          <w:color w:val="000000"/>
          <w:sz w:val="28"/>
          <w:szCs w:val="28"/>
        </w:rPr>
        <w:t xml:space="preserve"> y de las energías renovables </w:t>
      </w:r>
    </w:p>
    <w:p w:rsidR="005B17FC" w:rsidRDefault="005B17FC">
      <w:pPr>
        <w:pStyle w:val="normal0"/>
        <w:pBdr>
          <w:between w:val="nil"/>
        </w:pBdr>
        <w:spacing w:before="120"/>
        <w:ind w:left="510" w:right="680"/>
        <w:rPr>
          <w:color w:val="000000"/>
        </w:rPr>
      </w:pP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La delegada de Educación y Deporte, Mercedes García </w:t>
      </w:r>
      <w:proofErr w:type="spellStart"/>
      <w:r>
        <w:rPr>
          <w:rFonts w:ascii="Arial" w:eastAsia="Arial" w:hAnsi="Arial" w:cs="Arial"/>
          <w:color w:val="000000"/>
        </w:rPr>
        <w:t>Paine</w:t>
      </w:r>
      <w:proofErr w:type="spellEnd"/>
      <w:r>
        <w:rPr>
          <w:rFonts w:ascii="Arial" w:eastAsia="Arial" w:hAnsi="Arial" w:cs="Arial"/>
          <w:color w:val="000000"/>
        </w:rPr>
        <w:t>, ha informado de la aprobación de la nueva pro</w:t>
      </w:r>
      <w:r>
        <w:rPr>
          <w:rFonts w:ascii="Arial" w:eastAsia="Arial" w:hAnsi="Arial" w:cs="Arial"/>
          <w:color w:val="000000"/>
        </w:rPr>
        <w:t>gramación de actuaciones en infraestructuras educativas del año 2021, en la que se incluyen 48 obras de creación, ampliación o mejora de centros educativos públicos de Málaga, con un presupuesto programado de más de 54,2 millones de euros. Esta programació</w:t>
      </w:r>
      <w:r>
        <w:rPr>
          <w:rFonts w:ascii="Arial" w:eastAsia="Arial" w:hAnsi="Arial" w:cs="Arial"/>
          <w:color w:val="000000"/>
        </w:rPr>
        <w:t>n, que ejecutará la Agencia Pública Andaluza de Educación, constituye la segunda anualidad del Plan de Infraestructuras Educativas 2020-2027 impulsado por la Consejería para dar respuesta de forma ordenada y planificada a las demandas y nuevos retos del si</w:t>
      </w:r>
      <w:r>
        <w:rPr>
          <w:rFonts w:ascii="Arial" w:eastAsia="Arial" w:hAnsi="Arial" w:cs="Arial"/>
          <w:color w:val="000000"/>
        </w:rPr>
        <w:t xml:space="preserve">stema público educativo andaluz en este horizonte temporal. 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Durante su intervención, la delegada ha querido transmitir su apoyo y agradecimiento a toda la comunidad educativa por su compromiso y gran labor realizada, “especialmente en este año tan compli</w:t>
      </w:r>
      <w:r>
        <w:rPr>
          <w:rFonts w:ascii="Arial" w:eastAsia="Arial" w:hAnsi="Arial" w:cs="Arial"/>
          <w:color w:val="000000"/>
        </w:rPr>
        <w:t xml:space="preserve">cado en medio de unas circunstancias altamente excepcionales”, ha señalado. 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García </w:t>
      </w:r>
      <w:proofErr w:type="spellStart"/>
      <w:r>
        <w:rPr>
          <w:rFonts w:ascii="Arial" w:eastAsia="Arial" w:hAnsi="Arial" w:cs="Arial"/>
          <w:color w:val="000000"/>
        </w:rPr>
        <w:t>Paine</w:t>
      </w:r>
      <w:proofErr w:type="spellEnd"/>
      <w:r>
        <w:rPr>
          <w:rFonts w:ascii="Arial" w:eastAsia="Arial" w:hAnsi="Arial" w:cs="Arial"/>
          <w:color w:val="000000"/>
        </w:rPr>
        <w:t xml:space="preserve"> ha querido destacar que “este plan supone un logro histórico del gobierno andaluz”, así como el esfuerzo que ha realizado la Consejería de Educación para mejorar las</w:t>
      </w:r>
      <w:r>
        <w:rPr>
          <w:rFonts w:ascii="Arial" w:eastAsia="Arial" w:hAnsi="Arial" w:cs="Arial"/>
          <w:color w:val="000000"/>
        </w:rPr>
        <w:t xml:space="preserve"> infraestructuras de los centros educativos de nuestra provincia. 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bookmarkStart w:id="0" w:name="_gjdgxs" w:colFirst="0" w:colLast="0"/>
      <w:bookmarkEnd w:id="0"/>
      <w:r>
        <w:rPr>
          <w:rFonts w:ascii="Arial" w:eastAsia="Arial" w:hAnsi="Arial" w:cs="Arial"/>
          <w:color w:val="000000"/>
        </w:rPr>
        <w:t xml:space="preserve">Este programa da continuidad a los proyectos piloto de adiabática y fotovoltaica iniciados en 2020, con la novedad de que en 2021 ambas </w:t>
      </w:r>
      <w:r>
        <w:rPr>
          <w:rFonts w:ascii="Arial" w:eastAsia="Arial" w:hAnsi="Arial" w:cs="Arial"/>
          <w:color w:val="000000"/>
        </w:rPr>
        <w:lastRenderedPageBreak/>
        <w:t>actuaciones se ejecutarán de forma simultánea en los</w:t>
      </w:r>
      <w:r>
        <w:rPr>
          <w:rFonts w:ascii="Arial" w:eastAsia="Arial" w:hAnsi="Arial" w:cs="Arial"/>
          <w:color w:val="000000"/>
        </w:rPr>
        <w:t xml:space="preserve"> centros, de manera que se cubrirán tanto las necesidades de mejora de la climatización de los centros como las de ahorro y la eficiencia energética de los mismos. 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bookmarkStart w:id="1" w:name="_30j0zll" w:colFirst="0" w:colLast="0"/>
      <w:bookmarkEnd w:id="1"/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bookmarkStart w:id="2" w:name="_1fob9te" w:colFirst="0" w:colLast="0"/>
      <w:bookmarkEnd w:id="2"/>
      <w:r>
        <w:rPr>
          <w:rFonts w:ascii="Arial" w:eastAsia="Arial" w:hAnsi="Arial" w:cs="Arial"/>
          <w:b/>
          <w:color w:val="000000"/>
        </w:rPr>
        <w:t>En 2021, la mayor inversión desde 2010 en Andalucía: 190 millones</w:t>
      </w: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La Consejería de Educaci</w:t>
      </w:r>
      <w:r>
        <w:rPr>
          <w:rFonts w:ascii="Arial" w:eastAsia="Arial" w:hAnsi="Arial" w:cs="Arial"/>
          <w:color w:val="000000"/>
        </w:rPr>
        <w:t>ón y Deporte ha aumentado en 2021 el presupuesto disponible destinado a infraestructuras docentes en Andalucía hasta alcanzar los 190 millones de euros “la mayor inversión desde el 2010”, ha señalado la delegada.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FF0000"/>
        </w:rPr>
      </w:pPr>
      <w:bookmarkStart w:id="3" w:name="_3znysh7" w:colFirst="0" w:colLast="0"/>
      <w:bookmarkEnd w:id="3"/>
      <w:r>
        <w:rPr>
          <w:rFonts w:ascii="Arial" w:eastAsia="Arial" w:hAnsi="Arial" w:cs="Arial"/>
          <w:color w:val="000000"/>
        </w:rPr>
        <w:t xml:space="preserve">En la provincia de Málaga, este incremento del presupuesto permitirá adelantar 114 actuaciones pendientes desde el 2017, que se unen a las 164 ya finalizadas en el periodo 2019-2021 con un presupuesto de más 23,5 millones de euros. 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bookmarkStart w:id="4" w:name="_2et92p0" w:colFirst="0" w:colLast="0"/>
      <w:bookmarkEnd w:id="4"/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Respecto a la ejecució</w:t>
      </w:r>
      <w:r>
        <w:rPr>
          <w:rFonts w:ascii="Arial" w:eastAsia="Arial" w:hAnsi="Arial" w:cs="Arial"/>
          <w:color w:val="000000"/>
        </w:rPr>
        <w:t>n del presupuesto en estos dos años (2019-2020), la delegada ha señalado que ha supuesto un incremento de casi 14 millones de euros con respecto a los ejercicios 2017 y 2018, lo que supone un incremento de un 171%. “Este aumento de la inversión es la conse</w:t>
      </w:r>
      <w:r>
        <w:rPr>
          <w:rFonts w:ascii="Arial" w:eastAsia="Arial" w:hAnsi="Arial" w:cs="Arial"/>
          <w:color w:val="000000"/>
        </w:rPr>
        <w:t>cuencia de la extraordinaria ejecución del presupuesto”, ha dicho.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bookmarkStart w:id="5" w:name="_tyjcwt" w:colFirst="0" w:colLast="0"/>
      <w:bookmarkEnd w:id="5"/>
      <w:r>
        <w:rPr>
          <w:rFonts w:ascii="Arial" w:eastAsia="Arial" w:hAnsi="Arial" w:cs="Arial"/>
          <w:color w:val="000000"/>
        </w:rPr>
        <w:t xml:space="preserve">Durante su intervención, Mercedes García </w:t>
      </w:r>
      <w:proofErr w:type="spellStart"/>
      <w:r>
        <w:rPr>
          <w:rFonts w:ascii="Arial" w:eastAsia="Arial" w:hAnsi="Arial" w:cs="Arial"/>
          <w:color w:val="000000"/>
        </w:rPr>
        <w:t>Paine</w:t>
      </w:r>
      <w:proofErr w:type="spellEnd"/>
      <w:r>
        <w:rPr>
          <w:rFonts w:ascii="Arial" w:eastAsia="Arial" w:hAnsi="Arial" w:cs="Arial"/>
          <w:color w:val="000000"/>
        </w:rPr>
        <w:t xml:space="preserve"> ha informado también que desde junio de 2020 se han licitado en Málaga 111 actuaciones a través de acuerdo marco, el nuevo sistema de adjudic</w:t>
      </w:r>
      <w:r>
        <w:rPr>
          <w:rFonts w:ascii="Arial" w:eastAsia="Arial" w:hAnsi="Arial" w:cs="Arial"/>
          <w:color w:val="000000"/>
        </w:rPr>
        <w:t xml:space="preserve">ación de obras de importe inferior a 500.000 euros puesto en marcha por la Consejería que permite reducir los plazos entre el inicio del expediente y la adjudicación de hasta cuatro meses a dos semanas. 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Ha subrayado que esta iniciativa, tiene como finali</w:t>
      </w:r>
      <w:r>
        <w:rPr>
          <w:rFonts w:ascii="Arial" w:eastAsia="Arial" w:hAnsi="Arial" w:cs="Arial"/>
          <w:color w:val="000000"/>
        </w:rPr>
        <w:t xml:space="preserve">dad agilizar los procedimientos de contratación de obras y dar una respuesta más eficaz a las necesidades de las infraestructuras educativas andaluzas. 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FF0000"/>
        </w:rPr>
      </w:pP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Plan de Infraestructuras 2021</w:t>
      </w: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En la programación de 2021 se incluyen 10 actuaciones dirigidas a resolv</w:t>
      </w:r>
      <w:r>
        <w:rPr>
          <w:rFonts w:ascii="Arial" w:eastAsia="Arial" w:hAnsi="Arial" w:cs="Arial"/>
          <w:color w:val="000000"/>
        </w:rPr>
        <w:t xml:space="preserve">er necesidades de escolarización, lo que incluye la construcción de nuevos centros y ampliaciones que doten al sistema educativo de nuevos puestos escolares o que permitan el incremento de enseñanzas, como Bachillerato.  Se </w:t>
      </w:r>
      <w:r>
        <w:rPr>
          <w:rFonts w:ascii="Arial" w:eastAsia="Arial" w:hAnsi="Arial" w:cs="Arial"/>
          <w:color w:val="000000"/>
        </w:rPr>
        <w:lastRenderedPageBreak/>
        <w:t>llevarán a cabo en el IES Santia</w:t>
      </w:r>
      <w:r>
        <w:rPr>
          <w:rFonts w:ascii="Arial" w:eastAsia="Arial" w:hAnsi="Arial" w:cs="Arial"/>
          <w:color w:val="000000"/>
        </w:rPr>
        <w:t>go Ramón y Cajal (Fuengirola), en el IES Fuente Lucena (</w:t>
      </w:r>
      <w:proofErr w:type="spellStart"/>
      <w:r>
        <w:rPr>
          <w:rFonts w:ascii="Arial" w:eastAsia="Arial" w:hAnsi="Arial" w:cs="Arial"/>
          <w:color w:val="000000"/>
        </w:rPr>
        <w:t>Alhaurín</w:t>
      </w:r>
      <w:proofErr w:type="spellEnd"/>
      <w:r>
        <w:rPr>
          <w:rFonts w:ascii="Arial" w:eastAsia="Arial" w:hAnsi="Arial" w:cs="Arial"/>
          <w:color w:val="000000"/>
        </w:rPr>
        <w:t xml:space="preserve"> el Grande), en el IES Victoria Kent (Marbella), en el IES Eduardo Janeiro (Fuengirola), en el Nuevo D3 Zona Pinos (</w:t>
      </w:r>
      <w:proofErr w:type="spellStart"/>
      <w:r>
        <w:rPr>
          <w:rFonts w:ascii="Arial" w:eastAsia="Arial" w:hAnsi="Arial" w:cs="Arial"/>
          <w:color w:val="000000"/>
        </w:rPr>
        <w:t>Alhaurín</w:t>
      </w:r>
      <w:proofErr w:type="spellEnd"/>
      <w:r>
        <w:rPr>
          <w:rFonts w:ascii="Arial" w:eastAsia="Arial" w:hAnsi="Arial" w:cs="Arial"/>
          <w:color w:val="000000"/>
        </w:rPr>
        <w:t xml:space="preserve"> de la Torre), en el Nuevo IES (</w:t>
      </w:r>
      <w:proofErr w:type="spellStart"/>
      <w:r>
        <w:rPr>
          <w:rFonts w:ascii="Arial" w:eastAsia="Arial" w:hAnsi="Arial" w:cs="Arial"/>
          <w:color w:val="000000"/>
        </w:rPr>
        <w:t>Manilva</w:t>
      </w:r>
      <w:proofErr w:type="spellEnd"/>
      <w:r>
        <w:rPr>
          <w:rFonts w:ascii="Arial" w:eastAsia="Arial" w:hAnsi="Arial" w:cs="Arial"/>
          <w:color w:val="000000"/>
        </w:rPr>
        <w:t xml:space="preserve">), en el CEIP Nuestra Señora </w:t>
      </w:r>
      <w:r>
        <w:rPr>
          <w:rFonts w:ascii="Arial" w:eastAsia="Arial" w:hAnsi="Arial" w:cs="Arial"/>
          <w:color w:val="000000"/>
        </w:rPr>
        <w:t>de los Remedios (</w:t>
      </w:r>
      <w:proofErr w:type="spellStart"/>
      <w:r>
        <w:rPr>
          <w:rFonts w:ascii="Arial" w:eastAsia="Arial" w:hAnsi="Arial" w:cs="Arial"/>
          <w:color w:val="000000"/>
        </w:rPr>
        <w:t>Cártama</w:t>
      </w:r>
      <w:proofErr w:type="spellEnd"/>
      <w:r>
        <w:rPr>
          <w:rFonts w:ascii="Arial" w:eastAsia="Arial" w:hAnsi="Arial" w:cs="Arial"/>
          <w:color w:val="000000"/>
        </w:rPr>
        <w:t>), en el IES Sierra de Mijas (Mijas), en el Centro de investigación e innovación aplicada de la Formación Profesional en Campanillas (Campanillas), y en el Nuevo CIPFP en PTA (Campanillas), y cuentan con un presupuesto de más de 45,</w:t>
      </w:r>
      <w:r>
        <w:rPr>
          <w:rFonts w:ascii="Arial" w:eastAsia="Arial" w:hAnsi="Arial" w:cs="Arial"/>
          <w:color w:val="000000"/>
        </w:rPr>
        <w:t xml:space="preserve">6 millones de euros. 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Además, en la programación de 2021 se incluyen 10 actuaciones en la provincia dirigidas a necesidades de origen técnico que afectan a las condiciones de habitabilidad, seguridad o funcionalidad de los centros y que se consideran prio</w:t>
      </w:r>
      <w:r>
        <w:rPr>
          <w:rFonts w:ascii="Arial" w:eastAsia="Arial" w:hAnsi="Arial" w:cs="Arial"/>
          <w:color w:val="000000"/>
        </w:rPr>
        <w:t xml:space="preserve">ritarias con un valor de más de 2,3 millones. Se llevarán a cabo en Málaga capital en el CEIP Vicente Aleixandre, en el IES Mediterráneo, en el IES Sierra Bermeja, en el IES Politécnico Jesús Marín, en el IES Mayorazgo, y en el EI La Palma. En el resto de </w:t>
      </w:r>
      <w:r>
        <w:rPr>
          <w:rFonts w:ascii="Arial" w:eastAsia="Arial" w:hAnsi="Arial" w:cs="Arial"/>
          <w:color w:val="000000"/>
        </w:rPr>
        <w:t>municipios se ejecutarán en el CPR Alcalde Juan García (</w:t>
      </w:r>
      <w:proofErr w:type="spellStart"/>
      <w:r>
        <w:rPr>
          <w:rFonts w:ascii="Arial" w:eastAsia="Arial" w:hAnsi="Arial" w:cs="Arial"/>
          <w:color w:val="000000"/>
        </w:rPr>
        <w:t>Viñuela</w:t>
      </w:r>
      <w:proofErr w:type="spellEnd"/>
      <w:r>
        <w:rPr>
          <w:rFonts w:ascii="Arial" w:eastAsia="Arial" w:hAnsi="Arial" w:cs="Arial"/>
          <w:color w:val="000000"/>
        </w:rPr>
        <w:t xml:space="preserve">), en el IES </w:t>
      </w:r>
      <w:proofErr w:type="spellStart"/>
      <w:r>
        <w:rPr>
          <w:rFonts w:ascii="Arial" w:eastAsia="Arial" w:hAnsi="Arial" w:cs="Arial"/>
          <w:color w:val="000000"/>
        </w:rPr>
        <w:t>Casabermeja</w:t>
      </w:r>
      <w:proofErr w:type="spellEnd"/>
      <w:r>
        <w:rPr>
          <w:rFonts w:ascii="Arial" w:eastAsia="Arial" w:hAnsi="Arial" w:cs="Arial"/>
          <w:color w:val="000000"/>
        </w:rPr>
        <w:t xml:space="preserve"> (</w:t>
      </w:r>
      <w:proofErr w:type="spellStart"/>
      <w:r>
        <w:rPr>
          <w:rFonts w:ascii="Arial" w:eastAsia="Arial" w:hAnsi="Arial" w:cs="Arial"/>
          <w:color w:val="000000"/>
        </w:rPr>
        <w:t>Casabermeja</w:t>
      </w:r>
      <w:proofErr w:type="spellEnd"/>
      <w:r>
        <w:rPr>
          <w:rFonts w:ascii="Arial" w:eastAsia="Arial" w:hAnsi="Arial" w:cs="Arial"/>
          <w:color w:val="000000"/>
        </w:rPr>
        <w:t xml:space="preserve">), en el IES Alta </w:t>
      </w:r>
      <w:proofErr w:type="spellStart"/>
      <w:r>
        <w:rPr>
          <w:rFonts w:ascii="Arial" w:eastAsia="Arial" w:hAnsi="Arial" w:cs="Arial"/>
          <w:color w:val="000000"/>
        </w:rPr>
        <w:t>Axarquía</w:t>
      </w:r>
      <w:proofErr w:type="spellEnd"/>
      <w:r>
        <w:rPr>
          <w:rFonts w:ascii="Arial" w:eastAsia="Arial" w:hAnsi="Arial" w:cs="Arial"/>
          <w:color w:val="000000"/>
        </w:rPr>
        <w:t xml:space="preserve"> (</w:t>
      </w:r>
      <w:proofErr w:type="spellStart"/>
      <w:r>
        <w:rPr>
          <w:rFonts w:ascii="Arial" w:eastAsia="Arial" w:hAnsi="Arial" w:cs="Arial"/>
          <w:color w:val="000000"/>
        </w:rPr>
        <w:t>Periana</w:t>
      </w:r>
      <w:proofErr w:type="spellEnd"/>
      <w:r>
        <w:rPr>
          <w:rFonts w:ascii="Arial" w:eastAsia="Arial" w:hAnsi="Arial" w:cs="Arial"/>
          <w:color w:val="000000"/>
        </w:rPr>
        <w:t>), y en el IES Profesor Gonzalo Huesa (Ronda).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</w:p>
    <w:p w:rsidR="005B17FC" w:rsidRDefault="005473D8">
      <w:pPr>
        <w:pStyle w:val="normal0"/>
        <w:pBdr>
          <w:between w:val="nil"/>
        </w:pBdr>
        <w:spacing w:after="160"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Como continuación de años anteriores, están programadas 12 actuaciones es</w:t>
      </w:r>
      <w:r>
        <w:rPr>
          <w:rFonts w:ascii="Arial" w:eastAsia="Arial" w:hAnsi="Arial" w:cs="Arial"/>
          <w:color w:val="000000"/>
        </w:rPr>
        <w:t>pecíficas de retirada de amianto en los centros educativos: IES La Rosaleda (Málaga), IES Miraflores de los Ángeles (Málaga), IES Antonio Gala (</w:t>
      </w:r>
      <w:proofErr w:type="spellStart"/>
      <w:r>
        <w:rPr>
          <w:rFonts w:ascii="Arial" w:eastAsia="Arial" w:hAnsi="Arial" w:cs="Arial"/>
          <w:color w:val="000000"/>
        </w:rPr>
        <w:t>Alhaurín</w:t>
      </w:r>
      <w:proofErr w:type="spellEnd"/>
      <w:r>
        <w:rPr>
          <w:rFonts w:ascii="Arial" w:eastAsia="Arial" w:hAnsi="Arial" w:cs="Arial"/>
          <w:color w:val="000000"/>
        </w:rPr>
        <w:t xml:space="preserve"> el Grande), CEIP Vicente Aleixandre (Marbella), CEIP Vicente Aleixandre (Torre del Mar), CEIP Miguel He</w:t>
      </w:r>
      <w:r>
        <w:rPr>
          <w:rFonts w:ascii="Arial" w:eastAsia="Arial" w:hAnsi="Arial" w:cs="Arial"/>
          <w:color w:val="000000"/>
        </w:rPr>
        <w:t>rnández (Arroyo de la Miel – Benalmádena Costa), CEIP El Tejar (Fuengirola), CEIP La Gloria (Vélez - Málaga), IES Los colegiales (Antequera), EI San Juan (Antequera), CEIP Sierra Bermeja (</w:t>
      </w:r>
      <w:proofErr w:type="spellStart"/>
      <w:r>
        <w:rPr>
          <w:rFonts w:ascii="Arial" w:eastAsia="Arial" w:hAnsi="Arial" w:cs="Arial"/>
          <w:color w:val="000000"/>
        </w:rPr>
        <w:t>Estepona</w:t>
      </w:r>
      <w:proofErr w:type="spellEnd"/>
      <w:r>
        <w:rPr>
          <w:rFonts w:ascii="Arial" w:eastAsia="Arial" w:hAnsi="Arial" w:cs="Arial"/>
          <w:color w:val="000000"/>
        </w:rPr>
        <w:t>), y CPR San Hilario de Poitiers (</w:t>
      </w:r>
      <w:proofErr w:type="spellStart"/>
      <w:r>
        <w:rPr>
          <w:rFonts w:ascii="Arial" w:eastAsia="Arial" w:hAnsi="Arial" w:cs="Arial"/>
          <w:color w:val="000000"/>
        </w:rPr>
        <w:t>Comares</w:t>
      </w:r>
      <w:proofErr w:type="spellEnd"/>
      <w:r>
        <w:rPr>
          <w:rFonts w:ascii="Arial" w:eastAsia="Arial" w:hAnsi="Arial" w:cs="Arial"/>
          <w:color w:val="000000"/>
        </w:rPr>
        <w:t>), que supondrá una</w:t>
      </w:r>
      <w:r>
        <w:rPr>
          <w:rFonts w:ascii="Arial" w:eastAsia="Arial" w:hAnsi="Arial" w:cs="Arial"/>
          <w:color w:val="000000"/>
        </w:rPr>
        <w:t xml:space="preserve"> inversión de 867.960 euros.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Igualmente, la delegada de Educación y Deporte en Málaga, ha detallado otros programas recogidos en el plan como 2 actuaciones destinadas a mejorar las condiciones de las infraestructuras de los centros educativos malagueños q</w:t>
      </w:r>
      <w:r>
        <w:rPr>
          <w:rFonts w:ascii="Arial" w:eastAsia="Arial" w:hAnsi="Arial" w:cs="Arial"/>
          <w:color w:val="000000"/>
        </w:rPr>
        <w:t>ue hayan quedado obsoletas o dotarlas de requisitos o espacios de los que carezcan, de manera que puedan prestar un servicio educativo de calidad que responda a las demandas actuales. Estas actuaciones se llevarán a cabo en el CEIP Miguel Hernández (Arroyo</w:t>
      </w:r>
      <w:r>
        <w:rPr>
          <w:rFonts w:ascii="Arial" w:eastAsia="Arial" w:hAnsi="Arial" w:cs="Arial"/>
          <w:color w:val="000000"/>
        </w:rPr>
        <w:t xml:space="preserve"> de la Miel – Benalmádena Costa) y en el CEIP Juan Herrera </w:t>
      </w:r>
      <w:proofErr w:type="spellStart"/>
      <w:r>
        <w:rPr>
          <w:rFonts w:ascii="Arial" w:eastAsia="Arial" w:hAnsi="Arial" w:cs="Arial"/>
          <w:color w:val="000000"/>
        </w:rPr>
        <w:t>Alcausa</w:t>
      </w:r>
      <w:proofErr w:type="spellEnd"/>
      <w:r>
        <w:rPr>
          <w:rFonts w:ascii="Arial" w:eastAsia="Arial" w:hAnsi="Arial" w:cs="Arial"/>
          <w:color w:val="000000"/>
        </w:rPr>
        <w:t xml:space="preserve"> (Vélez – Málaga), por un valor total de 515.000 euros.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bookmarkStart w:id="6" w:name="_3dy6vkm" w:colFirst="0" w:colLast="0"/>
      <w:bookmarkEnd w:id="6"/>
      <w:r>
        <w:rPr>
          <w:rFonts w:ascii="Arial" w:eastAsia="Arial" w:hAnsi="Arial" w:cs="Arial"/>
          <w:b/>
          <w:color w:val="000000"/>
        </w:rPr>
        <w:t>Energía solar fotovoltaica y climatización</w:t>
      </w: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En 2021 se pone en marcha por primera vez un programa para actuar conjuntamente en la mejo</w:t>
      </w:r>
      <w:r>
        <w:rPr>
          <w:rFonts w:ascii="Arial" w:eastAsia="Arial" w:hAnsi="Arial" w:cs="Arial"/>
          <w:color w:val="000000"/>
        </w:rPr>
        <w:t>ra de las condiciones de climatización de los centros educativos y en la eficiencia energética de los mismos, partiendo de los buenos resultados de los proyectos pilotos de adiabática y renovables puestos en marcha en 2020. Así, en cada uno de los 14 centr</w:t>
      </w:r>
      <w:r>
        <w:rPr>
          <w:rFonts w:ascii="Arial" w:eastAsia="Arial" w:hAnsi="Arial" w:cs="Arial"/>
          <w:color w:val="000000"/>
        </w:rPr>
        <w:t xml:space="preserve">os previstos se realizará una actuación que incluirá dos instalaciones: una de refrigeración adiabática y otra de paneles fotovoltaicos para la producción de energía eléctrica, por un importe de casi 5 millones de euros (350.000 euros por proyecto). Entre </w:t>
      </w:r>
      <w:r>
        <w:rPr>
          <w:rFonts w:ascii="Arial" w:eastAsia="Arial" w:hAnsi="Arial" w:cs="Arial"/>
          <w:color w:val="000000"/>
        </w:rPr>
        <w:t>los centros confirmados se encuentran el IES Antonio Gala (</w:t>
      </w:r>
      <w:proofErr w:type="spellStart"/>
      <w:r>
        <w:rPr>
          <w:rFonts w:ascii="Arial" w:eastAsia="Arial" w:hAnsi="Arial" w:cs="Arial"/>
          <w:color w:val="000000"/>
        </w:rPr>
        <w:t>Alhaurín</w:t>
      </w:r>
      <w:proofErr w:type="spellEnd"/>
      <w:r>
        <w:rPr>
          <w:rFonts w:ascii="Arial" w:eastAsia="Arial" w:hAnsi="Arial" w:cs="Arial"/>
          <w:color w:val="000000"/>
        </w:rPr>
        <w:t xml:space="preserve"> el Grande), el IES Valle del Sol (</w:t>
      </w:r>
      <w:proofErr w:type="spellStart"/>
      <w:r>
        <w:rPr>
          <w:rFonts w:ascii="Arial" w:eastAsia="Arial" w:hAnsi="Arial" w:cs="Arial"/>
          <w:color w:val="000000"/>
        </w:rPr>
        <w:t>Álora</w:t>
      </w:r>
      <w:proofErr w:type="spellEnd"/>
      <w:r>
        <w:rPr>
          <w:rFonts w:ascii="Arial" w:eastAsia="Arial" w:hAnsi="Arial" w:cs="Arial"/>
          <w:color w:val="000000"/>
        </w:rPr>
        <w:t>), el CPR Mariana Pineda (</w:t>
      </w:r>
      <w:proofErr w:type="spellStart"/>
      <w:r>
        <w:rPr>
          <w:rFonts w:ascii="Arial" w:eastAsia="Arial" w:hAnsi="Arial" w:cs="Arial"/>
          <w:color w:val="000000"/>
        </w:rPr>
        <w:t>Cerralba</w:t>
      </w:r>
      <w:proofErr w:type="spellEnd"/>
      <w:r>
        <w:rPr>
          <w:rFonts w:ascii="Arial" w:eastAsia="Arial" w:hAnsi="Arial" w:cs="Arial"/>
          <w:color w:val="000000"/>
        </w:rPr>
        <w:t xml:space="preserve">), el CEIP </w:t>
      </w:r>
      <w:proofErr w:type="spellStart"/>
      <w:r>
        <w:rPr>
          <w:rFonts w:ascii="Arial" w:eastAsia="Arial" w:hAnsi="Arial" w:cs="Arial"/>
          <w:color w:val="000000"/>
        </w:rPr>
        <w:t>Carazony</w:t>
      </w:r>
      <w:proofErr w:type="spellEnd"/>
      <w:r>
        <w:rPr>
          <w:rFonts w:ascii="Arial" w:eastAsia="Arial" w:hAnsi="Arial" w:cs="Arial"/>
          <w:color w:val="000000"/>
        </w:rPr>
        <w:t xml:space="preserve"> (</w:t>
      </w:r>
      <w:proofErr w:type="spellStart"/>
      <w:r>
        <w:rPr>
          <w:rFonts w:ascii="Arial" w:eastAsia="Arial" w:hAnsi="Arial" w:cs="Arial"/>
          <w:color w:val="000000"/>
        </w:rPr>
        <w:t>Coín</w:t>
      </w:r>
      <w:proofErr w:type="spellEnd"/>
      <w:r>
        <w:rPr>
          <w:rFonts w:ascii="Arial" w:eastAsia="Arial" w:hAnsi="Arial" w:cs="Arial"/>
          <w:color w:val="000000"/>
        </w:rPr>
        <w:t>), y el CEIP Flor de Azahar (</w:t>
      </w:r>
      <w:proofErr w:type="spellStart"/>
      <w:r>
        <w:rPr>
          <w:rFonts w:ascii="Arial" w:eastAsia="Arial" w:hAnsi="Arial" w:cs="Arial"/>
          <w:color w:val="000000"/>
        </w:rPr>
        <w:t>Cártama</w:t>
      </w:r>
      <w:proofErr w:type="spellEnd"/>
      <w:r>
        <w:rPr>
          <w:rFonts w:ascii="Arial" w:eastAsia="Arial" w:hAnsi="Arial" w:cs="Arial"/>
          <w:color w:val="000000"/>
        </w:rPr>
        <w:t>).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La refrigeración adiabática es un sistema de clima</w:t>
      </w:r>
      <w:r>
        <w:rPr>
          <w:rFonts w:ascii="Arial" w:eastAsia="Arial" w:hAnsi="Arial" w:cs="Arial"/>
          <w:color w:val="000000"/>
        </w:rPr>
        <w:t>tización alternativo al aire acondicionado convencional que funciona bajando la temperatura del aire interior mediante la evaporación del agua. Sus principales ventajas son el bajo consumo eléctrico (hasta un 80% inferior al del aire acondicionado), las me</w:t>
      </w:r>
      <w:r>
        <w:rPr>
          <w:rFonts w:ascii="Arial" w:eastAsia="Arial" w:hAnsi="Arial" w:cs="Arial"/>
          <w:color w:val="000000"/>
        </w:rPr>
        <w:t>nores emisiones de CO2 y el menor coste de inversión inicial y de funcionamiento. Además, funciona con las ventanas abiertas, en línea con lo recomendado en la actual situación de Covid-19, y utiliza siempre aire fresco, sin recirculación, mejorando así la</w:t>
      </w:r>
      <w:r>
        <w:rPr>
          <w:rFonts w:ascii="Arial" w:eastAsia="Arial" w:hAnsi="Arial" w:cs="Arial"/>
          <w:color w:val="000000"/>
        </w:rPr>
        <w:t xml:space="preserve"> calidad del aire interior. 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En cuanto a la instalación de placas solares fotovoltaicas, esta permite una reducción drástica del consumo de energía eléctrica en los centros educativos, estando previsto además que el excedente pueda volcarse a la red, gene</w:t>
      </w:r>
      <w:r>
        <w:rPr>
          <w:rFonts w:ascii="Arial" w:eastAsia="Arial" w:hAnsi="Arial" w:cs="Arial"/>
          <w:color w:val="000000"/>
        </w:rPr>
        <w:t xml:space="preserve">rando así un retorno de la inversión.  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Estas 14 actuaciones, que se llevarán a cabo en centros ubicados en las zonas con mayor severidad climática en verano, permitirán un importante avance en la actualización y modernización del parque de centros educativos públicos. Está previsto, además, que</w:t>
      </w:r>
      <w:r>
        <w:rPr>
          <w:rFonts w:ascii="Arial" w:eastAsia="Arial" w:hAnsi="Arial" w:cs="Arial"/>
          <w:color w:val="000000"/>
        </w:rPr>
        <w:t xml:space="preserve"> tanto la refrigeración adiabática como las instalaciones fotovoltaicas se incorporen a las normas de diseño de los edificios docentes en Andalucía, de manera que todos los nuevos centros que se construyan cuenten ya con ambos sistemas. 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  <w:bookmarkStart w:id="7" w:name="_1t3h5sf" w:colFirst="0" w:colLast="0"/>
      <w:bookmarkEnd w:id="7"/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FF0000"/>
        </w:rPr>
      </w:pPr>
      <w:r>
        <w:rPr>
          <w:rFonts w:ascii="Arial" w:eastAsia="Arial" w:hAnsi="Arial" w:cs="Arial"/>
          <w:color w:val="000000"/>
        </w:rPr>
        <w:lastRenderedPageBreak/>
        <w:t xml:space="preserve">Asimismo, a este </w:t>
      </w:r>
      <w:r>
        <w:rPr>
          <w:rFonts w:ascii="Arial" w:eastAsia="Arial" w:hAnsi="Arial" w:cs="Arial"/>
          <w:color w:val="000000"/>
        </w:rPr>
        <w:t xml:space="preserve">plan de infraestructuras se podrán incorporar a lo largo del año actuaciones no programadas que surjan por necesidades o incidencias sobrevenidas, como es el caso de las urgencias técnicas o las obras de escolarización de verano, que se determinan una vez </w:t>
      </w:r>
      <w:r>
        <w:rPr>
          <w:rFonts w:ascii="Arial" w:eastAsia="Arial" w:hAnsi="Arial" w:cs="Arial"/>
          <w:color w:val="000000"/>
        </w:rPr>
        <w:t>cerrado el periodo de escolarización del alumnado. Para estas actuaciones se estima, respectivamente, un presupuesto de 9 y 2,5 millones de euros en Andalucía.</w:t>
      </w:r>
      <w:r>
        <w:rPr>
          <w:rFonts w:ascii="Arial" w:eastAsia="Arial" w:hAnsi="Arial" w:cs="Arial"/>
          <w:color w:val="FF0000"/>
        </w:rPr>
        <w:t xml:space="preserve">  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</w:p>
    <w:p w:rsidR="005B17FC" w:rsidRDefault="005473D8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FF0000"/>
        </w:rPr>
      </w:pPr>
      <w:r>
        <w:rPr>
          <w:rFonts w:ascii="Arial" w:eastAsia="Arial" w:hAnsi="Arial" w:cs="Arial"/>
          <w:color w:val="000000"/>
        </w:rPr>
        <w:t>Por último, ante las continuas demandas de diferente casuística, que tanto los centros educat</w:t>
      </w:r>
      <w:r>
        <w:rPr>
          <w:rFonts w:ascii="Arial" w:eastAsia="Arial" w:hAnsi="Arial" w:cs="Arial"/>
          <w:color w:val="000000"/>
        </w:rPr>
        <w:t>ivos como los Ayuntamientos realizan a las Delegaciones Territoriales, se ha establecido un importe que asciende a un total de 4 millones de euros para todas las provincias.</w:t>
      </w:r>
    </w:p>
    <w:p w:rsidR="005B17FC" w:rsidRDefault="005B17FC">
      <w:pPr>
        <w:pStyle w:val="normal0"/>
        <w:pBdr>
          <w:between w:val="nil"/>
        </w:pBdr>
        <w:spacing w:line="312" w:lineRule="auto"/>
        <w:ind w:left="510" w:right="680"/>
        <w:jc w:val="both"/>
        <w:rPr>
          <w:rFonts w:ascii="Arial" w:eastAsia="Arial" w:hAnsi="Arial" w:cs="Arial"/>
          <w:color w:val="000000"/>
        </w:rPr>
      </w:pPr>
    </w:p>
    <w:sectPr w:rsidR="005B17FC" w:rsidSect="005B17FC">
      <w:headerReference w:type="default" r:id="rId6"/>
      <w:footerReference w:type="default" r:id="rId7"/>
      <w:pgSz w:w="11906" w:h="16838"/>
      <w:pgMar w:top="1474" w:right="1134" w:bottom="1134" w:left="1134" w:header="1134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73D8" w:rsidRDefault="005473D8" w:rsidP="005B17FC">
      <w:r>
        <w:separator/>
      </w:r>
    </w:p>
  </w:endnote>
  <w:endnote w:type="continuationSeparator" w:id="0">
    <w:p w:rsidR="005473D8" w:rsidRDefault="005473D8" w:rsidP="005B17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7FC" w:rsidRDefault="005473D8">
    <w:pPr>
      <w:pStyle w:val="normal0"/>
      <w:pBdr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</w:rP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096000" cy="562610"/>
          <wp:effectExtent l="0" t="0" r="0" b="0"/>
          <wp:wrapSquare wrapText="bothSides" distT="0" distB="0" distL="0" distR="0"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l="-398" t="-3913" r="-398" b="-3912"/>
                  <a:stretch>
                    <a:fillRect/>
                  </a:stretch>
                </pic:blipFill>
                <pic:spPr>
                  <a:xfrm>
                    <a:off x="0" y="0"/>
                    <a:ext cx="6096000" cy="5626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73D8" w:rsidRDefault="005473D8" w:rsidP="005B17FC">
      <w:r>
        <w:separator/>
      </w:r>
    </w:p>
  </w:footnote>
  <w:footnote w:type="continuationSeparator" w:id="0">
    <w:p w:rsidR="005473D8" w:rsidRDefault="005473D8" w:rsidP="005B17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7FC" w:rsidRDefault="005473D8">
    <w:pPr>
      <w:pStyle w:val="normal0"/>
      <w:pBdr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-311149</wp:posOffset>
          </wp:positionH>
          <wp:positionV relativeFrom="paragraph">
            <wp:posOffset>-155574</wp:posOffset>
          </wp:positionV>
          <wp:extent cx="6096000" cy="758190"/>
          <wp:effectExtent l="0" t="0" r="0" b="0"/>
          <wp:wrapSquare wrapText="bothSides" distT="0" distB="0" distL="0" distR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>
                    <a:alphaModFix amt="0"/>
                  </a:blip>
                  <a:srcRect l="-243" t="-1907" r="-243" b="-1908"/>
                  <a:stretch>
                    <a:fillRect/>
                  </a:stretch>
                </pic:blipFill>
                <pic:spPr>
                  <a:xfrm>
                    <a:off x="0" y="0"/>
                    <a:ext cx="6096000" cy="7581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5B17FC" w:rsidRDefault="005B17FC">
    <w:pPr>
      <w:pStyle w:val="normal0"/>
      <w:pBdr>
        <w:between w:val="nil"/>
      </w:pBdr>
      <w:tabs>
        <w:tab w:val="center" w:pos="4819"/>
        <w:tab w:val="right" w:pos="9638"/>
      </w:tabs>
      <w:rPr>
        <w:color w:val="000000"/>
      </w:rPr>
    </w:pPr>
  </w:p>
  <w:p w:rsidR="005B17FC" w:rsidRDefault="005B17FC">
    <w:pPr>
      <w:pStyle w:val="normal0"/>
      <w:pBdr>
        <w:between w:val="nil"/>
      </w:pBdr>
      <w:tabs>
        <w:tab w:val="center" w:pos="4819"/>
        <w:tab w:val="right" w:pos="9638"/>
      </w:tabs>
      <w:rPr>
        <w:color w:val="000000"/>
      </w:rPr>
    </w:pPr>
  </w:p>
  <w:p w:rsidR="005B17FC" w:rsidRDefault="005473D8">
    <w:pPr>
      <w:pStyle w:val="normal0"/>
      <w:pBdr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</w:rP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-360044</wp:posOffset>
          </wp:positionH>
          <wp:positionV relativeFrom="paragraph">
            <wp:posOffset>339725</wp:posOffset>
          </wp:positionV>
          <wp:extent cx="276860" cy="7816215"/>
          <wp:effectExtent l="0" t="0" r="0" b="0"/>
          <wp:wrapSquare wrapText="bothSides" distT="0" distB="0" distL="0" distR="0"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>
                    <a:alphaModFix amt="0"/>
                  </a:blip>
                  <a:srcRect l="-4516" t="-210" r="-4516" b="-209"/>
                  <a:stretch>
                    <a:fillRect/>
                  </a:stretch>
                </pic:blipFill>
                <pic:spPr>
                  <a:xfrm>
                    <a:off x="0" y="0"/>
                    <a:ext cx="276860" cy="78162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17FC"/>
    <w:rsid w:val="005473D8"/>
    <w:rsid w:val="005B17FC"/>
    <w:rsid w:val="00FA18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Liberation Serif" w:hAnsi="Liberation Serif" w:cs="Liberation Serif"/>
        <w:sz w:val="24"/>
        <w:szCs w:val="24"/>
        <w:lang w:val="es-ES" w:eastAsia="es-ES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5B17FC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0"/>
    <w:next w:val="normal0"/>
    <w:rsid w:val="005B17FC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5B17FC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5B17FC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5B17FC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5B17F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5B17FC"/>
  </w:style>
  <w:style w:type="table" w:customStyle="1" w:styleId="TableNormal">
    <w:name w:val="Table Normal"/>
    <w:rsid w:val="005B17F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5B17FC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5B17F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1390</Words>
  <Characters>7649</Characters>
  <Application>Microsoft Office Word</Application>
  <DocSecurity>0</DocSecurity>
  <Lines>63</Lines>
  <Paragraphs>18</Paragraphs>
  <ScaleCrop>false</ScaleCrop>
  <Company/>
  <LinksUpToDate>false</LinksUpToDate>
  <CharactersWithSpaces>9021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2021-04-28T14:58:00Z</dcterms:created>
  <dcterms:modified xsi:type="dcterms:W3CDTF">2021-04-28T14:58:00Z</dcterms:modified>
</cp:coreProperties>
</file>